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spacing w:line="240" w:lineRule="auto"/>
        <w:ind w:firstLine="720" w:firstLineChars="200"/>
        <w:jc w:val="center"/>
        <w:textAlignment w:val="auto"/>
        <w:rPr>
          <w:rFonts w:hint="eastAsia" w:ascii="仿宋" w:hAnsi="仿宋" w:eastAsia="仿宋" w:cs="仿宋"/>
          <w:color w:val="auto"/>
          <w:sz w:val="36"/>
          <w:szCs w:val="36"/>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52"/>
          <w:szCs w:val="52"/>
        </w:rPr>
      </w:pPr>
      <w:r>
        <w:rPr>
          <w:rFonts w:hint="eastAsia" w:ascii="宋体" w:hAnsi="宋体" w:eastAsia="宋体" w:cs="宋体"/>
          <w:color w:val="auto"/>
          <w:sz w:val="52"/>
          <w:szCs w:val="52"/>
        </w:rPr>
        <w:t>中国科学技术大学先进技术研究院</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52"/>
          <w:szCs w:val="52"/>
        </w:rPr>
      </w:pPr>
      <w:r>
        <w:rPr>
          <w:rFonts w:hint="eastAsia" w:ascii="宋体" w:hAnsi="宋体" w:eastAsia="宋体" w:cs="宋体"/>
          <w:color w:val="auto"/>
          <w:sz w:val="52"/>
          <w:szCs w:val="52"/>
          <w:lang w:val="en-US" w:eastAsia="zh-CN"/>
        </w:rPr>
        <w:t>会议系统设备</w:t>
      </w:r>
      <w:r>
        <w:rPr>
          <w:rFonts w:hint="eastAsia" w:ascii="宋体" w:hAnsi="宋体" w:eastAsia="宋体" w:cs="宋体"/>
          <w:color w:val="auto"/>
          <w:sz w:val="52"/>
          <w:szCs w:val="52"/>
        </w:rPr>
        <w:t>采购</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z w:val="52"/>
          <w:szCs w:val="5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z w:val="52"/>
          <w:szCs w:val="5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z w:val="52"/>
          <w:szCs w:val="5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bCs/>
          <w:color w:val="auto"/>
          <w:sz w:val="52"/>
          <w:szCs w:val="52"/>
        </w:rPr>
      </w:pPr>
      <w:r>
        <w:rPr>
          <w:rFonts w:hint="eastAsia" w:ascii="黑体" w:hAnsi="黑体" w:eastAsia="黑体" w:cs="黑体"/>
          <w:b/>
          <w:bCs/>
          <w:color w:val="auto"/>
          <w:sz w:val="52"/>
          <w:szCs w:val="52"/>
        </w:rPr>
        <w:t>询价文件</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bCs/>
          <w:color w:val="auto"/>
          <w:sz w:val="52"/>
          <w:szCs w:val="5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bCs/>
          <w:color w:val="auto"/>
          <w:sz w:val="52"/>
          <w:szCs w:val="5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bCs/>
          <w:color w:val="auto"/>
          <w:sz w:val="52"/>
          <w:szCs w:val="5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bCs/>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bCs/>
          <w:color w:val="auto"/>
          <w:sz w:val="24"/>
          <w:szCs w:val="24"/>
        </w:rPr>
      </w:pPr>
      <w:r>
        <w:rPr>
          <w:rFonts w:hint="eastAsia" w:ascii="黑体" w:hAnsi="黑体" w:eastAsia="黑体" w:cs="黑体"/>
          <w:b/>
          <w:bCs/>
          <w:color w:val="auto"/>
          <w:sz w:val="24"/>
          <w:szCs w:val="24"/>
        </w:rPr>
        <w:t>采购人：中国科学技术大学先进技术研究院</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bCs/>
          <w:color w:val="auto"/>
          <w:sz w:val="24"/>
          <w:szCs w:val="24"/>
        </w:rPr>
      </w:pPr>
      <w:r>
        <w:rPr>
          <w:rFonts w:hint="eastAsia" w:ascii="黑体" w:hAnsi="黑体" w:eastAsia="黑体" w:cs="黑体"/>
          <w:b/>
          <w:bCs/>
          <w:color w:val="auto"/>
          <w:sz w:val="24"/>
          <w:szCs w:val="24"/>
        </w:rPr>
        <w:t>二零二</w:t>
      </w:r>
      <w:r>
        <w:rPr>
          <w:rFonts w:hint="eastAsia" w:ascii="黑体" w:hAnsi="黑体" w:eastAsia="黑体" w:cs="黑体"/>
          <w:b/>
          <w:bCs/>
          <w:color w:val="auto"/>
          <w:sz w:val="24"/>
          <w:szCs w:val="24"/>
          <w:lang w:val="en-US" w:eastAsia="zh-CN"/>
        </w:rPr>
        <w:t>三</w:t>
      </w:r>
      <w:r>
        <w:rPr>
          <w:rFonts w:hint="eastAsia" w:ascii="黑体" w:hAnsi="黑体" w:eastAsia="黑体" w:cs="黑体"/>
          <w:b/>
          <w:bCs/>
          <w:color w:val="auto"/>
          <w:sz w:val="24"/>
          <w:szCs w:val="24"/>
        </w:rPr>
        <w:t>年</w:t>
      </w:r>
      <w:r>
        <w:rPr>
          <w:rFonts w:hint="eastAsia" w:ascii="黑体" w:hAnsi="黑体" w:eastAsia="黑体" w:cs="黑体"/>
          <w:b/>
          <w:bCs/>
          <w:color w:val="auto"/>
          <w:sz w:val="24"/>
          <w:szCs w:val="24"/>
          <w:lang w:val="en-US" w:eastAsia="zh-CN"/>
        </w:rPr>
        <w:t>十二</w:t>
      </w:r>
      <w:r>
        <w:rPr>
          <w:rFonts w:hint="eastAsia" w:ascii="黑体" w:hAnsi="黑体" w:eastAsia="黑体" w:cs="黑体"/>
          <w:b/>
          <w:bCs/>
          <w:color w:val="auto"/>
          <w:sz w:val="24"/>
          <w:szCs w:val="24"/>
        </w:rPr>
        <w:t>月</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sz w:val="36"/>
          <w:szCs w:val="36"/>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sz w:val="36"/>
          <w:szCs w:val="36"/>
        </w:rPr>
      </w:pPr>
    </w:p>
    <w:p>
      <w:pPr>
        <w:pageBreakBefore w:val="0"/>
        <w:widowControl w:val="0"/>
        <w:kinsoku/>
        <w:wordWrap/>
        <w:overflowPunct/>
        <w:topLinePunct w:val="0"/>
        <w:bidi w:val="0"/>
        <w:spacing w:line="240" w:lineRule="auto"/>
        <w:ind w:firstLine="480" w:firstLineChars="200"/>
        <w:textAlignment w:val="auto"/>
        <w:rPr>
          <w:rFonts w:hint="eastAsia" w:ascii="仿宋" w:hAnsi="仿宋" w:eastAsia="仿宋" w:cs="仿宋"/>
          <w:color w:val="auto"/>
          <w:sz w:val="24"/>
          <w:szCs w:val="24"/>
        </w:rPr>
      </w:pPr>
    </w:p>
    <w:p>
      <w:pPr>
        <w:pStyle w:val="2"/>
        <w:pageBreakBefore w:val="0"/>
        <w:widowControl w:val="0"/>
        <w:kinsoku/>
        <w:wordWrap/>
        <w:overflowPunct/>
        <w:topLinePunct w:val="0"/>
        <w:bidi w:val="0"/>
        <w:spacing w:after="0" w:line="240" w:lineRule="auto"/>
        <w:ind w:firstLine="480" w:firstLineChars="200"/>
        <w:textAlignment w:val="auto"/>
        <w:rPr>
          <w:rFonts w:hint="eastAsia" w:ascii="仿宋" w:hAnsi="仿宋" w:eastAsia="仿宋" w:cs="仿宋"/>
          <w:color w:val="auto"/>
          <w:sz w:val="24"/>
          <w:szCs w:val="24"/>
        </w:rPr>
      </w:pPr>
    </w:p>
    <w:p>
      <w:pPr>
        <w:pStyle w:val="2"/>
        <w:pageBreakBefore w:val="0"/>
        <w:widowControl w:val="0"/>
        <w:kinsoku/>
        <w:wordWrap/>
        <w:overflowPunct/>
        <w:topLinePunct w:val="0"/>
        <w:bidi w:val="0"/>
        <w:spacing w:after="0" w:line="240" w:lineRule="auto"/>
        <w:ind w:firstLine="480" w:firstLineChars="200"/>
        <w:textAlignment w:val="auto"/>
        <w:rPr>
          <w:rFonts w:hint="eastAsia" w:ascii="仿宋" w:hAnsi="仿宋" w:eastAsia="仿宋" w:cs="仿宋"/>
          <w:color w:val="auto"/>
          <w:sz w:val="24"/>
          <w:szCs w:val="24"/>
        </w:rPr>
      </w:pPr>
    </w:p>
    <w:p>
      <w:pPr>
        <w:pStyle w:val="2"/>
        <w:pageBreakBefore w:val="0"/>
        <w:widowControl w:val="0"/>
        <w:kinsoku/>
        <w:wordWrap/>
        <w:overflowPunct/>
        <w:topLinePunct w:val="0"/>
        <w:bidi w:val="0"/>
        <w:spacing w:after="0" w:line="240" w:lineRule="auto"/>
        <w:ind w:firstLine="480" w:firstLineChars="200"/>
        <w:textAlignment w:val="auto"/>
        <w:rPr>
          <w:rFonts w:hint="eastAsia" w:ascii="仿宋" w:hAnsi="仿宋" w:eastAsia="仿宋" w:cs="仿宋"/>
          <w:color w:val="auto"/>
          <w:sz w:val="24"/>
          <w:szCs w:val="24"/>
        </w:rPr>
      </w:pPr>
    </w:p>
    <w:p>
      <w:pPr>
        <w:pStyle w:val="2"/>
        <w:pageBreakBefore w:val="0"/>
        <w:widowControl w:val="0"/>
        <w:kinsoku/>
        <w:wordWrap/>
        <w:overflowPunct/>
        <w:topLinePunct w:val="0"/>
        <w:bidi w:val="0"/>
        <w:spacing w:after="0" w:line="240" w:lineRule="auto"/>
        <w:ind w:firstLine="480" w:firstLineChars="200"/>
        <w:textAlignment w:val="auto"/>
        <w:rPr>
          <w:rFonts w:hint="eastAsia" w:ascii="仿宋" w:hAnsi="仿宋" w:eastAsia="仿宋" w:cs="仿宋"/>
          <w:color w:val="auto"/>
          <w:sz w:val="24"/>
          <w:szCs w:val="24"/>
        </w:rPr>
      </w:pPr>
    </w:p>
    <w:p>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rPr>
      </w:pPr>
    </w:p>
    <w:p>
      <w:pPr>
        <w:pageBreakBefore w:val="0"/>
        <w:widowControl w:val="0"/>
        <w:kinsoku/>
        <w:wordWrap/>
        <w:overflowPunct/>
        <w:topLinePunct w:val="0"/>
        <w:bidi w:val="0"/>
        <w:spacing w:line="240" w:lineRule="auto"/>
        <w:ind w:firstLine="562" w:firstLineChars="200"/>
        <w:jc w:val="center"/>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目  录</w:t>
      </w:r>
    </w:p>
    <w:p>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color w:val="auto"/>
          <w:sz w:val="24"/>
          <w:szCs w:val="24"/>
        </w:rPr>
      </w:pP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TOC \o "1-3" \h \z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_Toc10754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第</w:t>
      </w:r>
      <w:r>
        <w:rPr>
          <w:rFonts w:hint="eastAsia" w:ascii="仿宋" w:hAnsi="仿宋" w:eastAsia="仿宋" w:cs="仿宋"/>
          <w:bCs w:val="0"/>
          <w:sz w:val="24"/>
          <w:szCs w:val="24"/>
          <w:lang w:val="en-US" w:eastAsia="zh-CN"/>
        </w:rPr>
        <w:t>一章</w:t>
      </w:r>
      <w:r>
        <w:rPr>
          <w:rFonts w:hint="eastAsia" w:ascii="仿宋" w:hAnsi="仿宋" w:eastAsia="仿宋" w:cs="仿宋"/>
          <w:bCs w:val="0"/>
          <w:sz w:val="24"/>
          <w:szCs w:val="24"/>
        </w:rPr>
        <w:t xml:space="preserve">  </w:t>
      </w:r>
      <w:r>
        <w:rPr>
          <w:rFonts w:hint="eastAsia" w:ascii="仿宋" w:hAnsi="仿宋" w:eastAsia="仿宋" w:cs="仿宋"/>
          <w:bCs w:val="0"/>
          <w:sz w:val="24"/>
          <w:szCs w:val="24"/>
          <w:lang w:val="en-US" w:eastAsia="zh-CN"/>
        </w:rPr>
        <w:t>询价公告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_Toc10754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_Toc29343 </w:instrText>
      </w:r>
      <w:r>
        <w:rPr>
          <w:rFonts w:hint="eastAsia" w:ascii="仿宋" w:hAnsi="仿宋" w:eastAsia="仿宋" w:cs="仿宋"/>
          <w:sz w:val="24"/>
          <w:szCs w:val="24"/>
        </w:rPr>
        <w:fldChar w:fldCharType="separate"/>
      </w:r>
      <w:r>
        <w:rPr>
          <w:rFonts w:hint="eastAsia" w:ascii="仿宋" w:hAnsi="仿宋" w:eastAsia="仿宋" w:cs="仿宋"/>
          <w:bCs w:val="0"/>
          <w:sz w:val="24"/>
          <w:szCs w:val="24"/>
          <w:lang w:val="en-US" w:eastAsia="zh-CN"/>
        </w:rPr>
        <w:t>第二章 报价须知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_Toc29343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_Toc21787 </w:instrText>
      </w:r>
      <w:r>
        <w:rPr>
          <w:rFonts w:hint="eastAsia" w:ascii="仿宋" w:hAnsi="仿宋" w:eastAsia="仿宋" w:cs="仿宋"/>
          <w:sz w:val="24"/>
          <w:szCs w:val="24"/>
        </w:rPr>
        <w:fldChar w:fldCharType="separate"/>
      </w:r>
      <w:r>
        <w:rPr>
          <w:rFonts w:hint="eastAsia" w:ascii="仿宋" w:hAnsi="仿宋" w:eastAsia="仿宋" w:cs="仿宋"/>
          <w:bCs w:val="0"/>
          <w:sz w:val="24"/>
          <w:szCs w:val="24"/>
          <w:lang w:val="en-US" w:eastAsia="zh-CN"/>
        </w:rPr>
        <w:t xml:space="preserve">第三章 </w:t>
      </w:r>
      <w:r>
        <w:rPr>
          <w:rFonts w:hint="eastAsia" w:ascii="仿宋" w:hAnsi="仿宋" w:eastAsia="仿宋" w:cs="仿宋"/>
          <w:sz w:val="24"/>
          <w:szCs w:val="24"/>
        </w:rPr>
        <w:t>项目内容及要求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_Toc21787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_Toc12768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 xml:space="preserve">第四章 </w:t>
      </w:r>
      <w:r>
        <w:rPr>
          <w:rFonts w:hint="eastAsia" w:ascii="仿宋" w:hAnsi="仿宋" w:eastAsia="仿宋" w:cs="仿宋"/>
          <w:bCs w:val="0"/>
          <w:sz w:val="24"/>
          <w:szCs w:val="24"/>
        </w:rPr>
        <w:t>报价</w:t>
      </w:r>
      <w:r>
        <w:rPr>
          <w:rFonts w:hint="eastAsia" w:ascii="仿宋" w:hAnsi="仿宋" w:eastAsia="仿宋" w:cs="仿宋"/>
          <w:bCs w:val="0"/>
          <w:sz w:val="24"/>
          <w:szCs w:val="24"/>
          <w:lang w:val="en-US" w:eastAsia="zh-CN"/>
        </w:rPr>
        <w:t>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_Toc12768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center"/>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rPr>
        <w:fldChar w:fldCharType="end"/>
      </w:r>
    </w:p>
    <w:p>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rPr>
      </w:pPr>
    </w:p>
    <w:p>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rPr>
      </w:pPr>
    </w:p>
    <w:p>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rPr>
      </w:pPr>
    </w:p>
    <w:p>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rPr>
      </w:pPr>
    </w:p>
    <w:p>
      <w:pPr>
        <w:pageBreakBefore w:val="0"/>
        <w:widowControl w:val="0"/>
        <w:tabs>
          <w:tab w:val="left" w:pos="2683"/>
        </w:tabs>
        <w:kinsoku/>
        <w:wordWrap/>
        <w:overflowPunct/>
        <w:topLinePunct w:val="0"/>
        <w:bidi w:val="0"/>
        <w:spacing w:line="240" w:lineRule="auto"/>
        <w:ind w:firstLine="482" w:firstLineChars="20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ab/>
      </w:r>
    </w:p>
    <w:p>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rPr>
      </w:pPr>
    </w:p>
    <w:p>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rPr>
      </w:pPr>
    </w:p>
    <w:p>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rPr>
      </w:pPr>
    </w:p>
    <w:p>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rPr>
      </w:pPr>
    </w:p>
    <w:p>
      <w:pPr>
        <w:pStyle w:val="2"/>
        <w:pageBreakBefore w:val="0"/>
        <w:widowControl w:val="0"/>
        <w:kinsoku/>
        <w:wordWrap/>
        <w:overflowPunct/>
        <w:topLinePunct w:val="0"/>
        <w:bidi w:val="0"/>
        <w:spacing w:after="0" w:line="240" w:lineRule="auto"/>
        <w:ind w:firstLine="480" w:firstLineChars="200"/>
        <w:textAlignment w:val="auto"/>
        <w:rPr>
          <w:rFonts w:hint="eastAsia" w:ascii="仿宋" w:hAnsi="仿宋" w:eastAsia="仿宋" w:cs="仿宋"/>
          <w:color w:val="auto"/>
          <w:sz w:val="24"/>
          <w:szCs w:val="24"/>
        </w:rPr>
      </w:pPr>
    </w:p>
    <w:p>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rPr>
      </w:pPr>
    </w:p>
    <w:p>
      <w:pPr>
        <w:pageBreakBefore w:val="0"/>
        <w:widowControl w:val="0"/>
        <w:kinsoku/>
        <w:wordWrap/>
        <w:overflowPunct/>
        <w:topLinePunct w:val="0"/>
        <w:bidi w:val="0"/>
        <w:snapToGrid/>
        <w:spacing w:line="240" w:lineRule="auto"/>
        <w:ind w:left="0" w:leftChars="0" w:firstLine="482" w:firstLineChars="200"/>
        <w:jc w:val="center"/>
        <w:textAlignment w:val="auto"/>
        <w:rPr>
          <w:rFonts w:hint="eastAsia" w:ascii="仿宋" w:hAnsi="仿宋" w:eastAsia="仿宋" w:cs="仿宋"/>
          <w:b/>
          <w:bCs/>
          <w:color w:val="auto"/>
          <w:sz w:val="24"/>
          <w:szCs w:val="24"/>
        </w:rPr>
        <w:sectPr>
          <w:pgSz w:w="11906" w:h="16838"/>
          <w:pgMar w:top="1440" w:right="1800" w:bottom="1440" w:left="1800" w:header="851" w:footer="992" w:gutter="0"/>
          <w:cols w:space="425" w:num="1"/>
          <w:docGrid w:type="lines" w:linePitch="312" w:charSpace="0"/>
        </w:sectPr>
      </w:pPr>
    </w:p>
    <w:p>
      <w:pPr>
        <w:pageBreakBefore w:val="0"/>
        <w:widowControl w:val="0"/>
        <w:kinsoku/>
        <w:wordWrap/>
        <w:overflowPunct/>
        <w:topLinePunct w:val="0"/>
        <w:bidi w:val="0"/>
        <w:snapToGrid/>
        <w:spacing w:line="360" w:lineRule="auto"/>
        <w:ind w:left="0" w:leftChars="0" w:firstLine="482" w:firstLineChars="200"/>
        <w:jc w:val="center"/>
        <w:textAlignment w:val="auto"/>
        <w:rPr>
          <w:rFonts w:hint="eastAsia" w:ascii="仿宋" w:hAnsi="仿宋" w:eastAsia="仿宋" w:cs="仿宋"/>
          <w:b/>
          <w:bCs/>
          <w:color w:val="auto"/>
          <w:sz w:val="24"/>
          <w:szCs w:val="24"/>
        </w:rPr>
      </w:pPr>
    </w:p>
    <w:p>
      <w:pPr>
        <w:pStyle w:val="6"/>
        <w:pageBreakBefore w:val="0"/>
        <w:widowControl w:val="0"/>
        <w:kinsoku/>
        <w:wordWrap/>
        <w:overflowPunct/>
        <w:topLinePunct w:val="0"/>
        <w:bidi w:val="0"/>
        <w:snapToGrid/>
        <w:spacing w:before="0" w:beforeLines="0" w:after="0" w:afterLines="0" w:line="360" w:lineRule="auto"/>
        <w:ind w:left="0" w:leftChars="0" w:firstLine="562" w:firstLineChars="200"/>
        <w:jc w:val="center"/>
        <w:textAlignment w:val="auto"/>
        <w:rPr>
          <w:rFonts w:hint="eastAsia" w:ascii="黑体" w:hAnsi="黑体" w:eastAsia="黑体" w:cs="黑体"/>
          <w:bCs w:val="0"/>
          <w:sz w:val="28"/>
          <w:szCs w:val="28"/>
          <w:lang w:val="en-US" w:eastAsia="zh-CN"/>
        </w:rPr>
      </w:pPr>
      <w:bookmarkStart w:id="0" w:name="_Toc10754"/>
      <w:r>
        <w:rPr>
          <w:rFonts w:hint="eastAsia" w:ascii="黑体" w:hAnsi="黑体" w:eastAsia="黑体" w:cs="黑体"/>
          <w:bCs w:val="0"/>
          <w:sz w:val="28"/>
          <w:szCs w:val="28"/>
        </w:rPr>
        <w:t>第</w:t>
      </w:r>
      <w:r>
        <w:rPr>
          <w:rFonts w:hint="eastAsia" w:ascii="黑体" w:hAnsi="黑体" w:eastAsia="黑体" w:cs="黑体"/>
          <w:bCs w:val="0"/>
          <w:sz w:val="28"/>
          <w:szCs w:val="28"/>
          <w:lang w:val="en-US" w:eastAsia="zh-CN"/>
        </w:rPr>
        <w:t>一章</w:t>
      </w:r>
      <w:r>
        <w:rPr>
          <w:rFonts w:hint="eastAsia" w:ascii="黑体" w:hAnsi="黑体" w:eastAsia="黑体" w:cs="黑体"/>
          <w:bCs w:val="0"/>
          <w:sz w:val="28"/>
          <w:szCs w:val="28"/>
        </w:rPr>
        <w:t xml:space="preserve">  </w:t>
      </w:r>
      <w:r>
        <w:rPr>
          <w:rFonts w:hint="eastAsia" w:ascii="黑体" w:hAnsi="黑体" w:eastAsia="黑体" w:cs="黑体"/>
          <w:bCs w:val="0"/>
          <w:sz w:val="28"/>
          <w:szCs w:val="28"/>
          <w:lang w:val="en-US" w:eastAsia="zh-CN"/>
        </w:rPr>
        <w:t>询价公告</w:t>
      </w:r>
      <w:bookmarkEnd w:id="0"/>
    </w:p>
    <w:p>
      <w:pPr>
        <w:pStyle w:val="6"/>
        <w:pageBreakBefore w:val="0"/>
        <w:widowControl w:val="0"/>
        <w:kinsoku/>
        <w:wordWrap/>
        <w:overflowPunct/>
        <w:topLinePunct w:val="0"/>
        <w:bidi w:val="0"/>
        <w:snapToGrid/>
        <w:spacing w:before="0" w:beforeLines="0" w:after="0" w:afterLines="0" w:line="360" w:lineRule="auto"/>
        <w:ind w:left="0" w:leftChars="0" w:firstLine="480" w:firstLineChars="200"/>
        <w:textAlignment w:val="auto"/>
        <w:rPr>
          <w:rFonts w:hint="eastAsia" w:ascii="仿宋" w:hAnsi="仿宋" w:eastAsia="仿宋" w:cs="仿宋"/>
          <w:b w:val="0"/>
          <w:bCs/>
          <w:color w:val="auto"/>
          <w:sz w:val="24"/>
          <w:szCs w:val="24"/>
          <w:lang w:val="en-US" w:eastAsia="zh-CN"/>
        </w:rPr>
      </w:pPr>
      <w:bookmarkStart w:id="1" w:name="_Toc25916"/>
      <w:r>
        <w:rPr>
          <w:rFonts w:hint="eastAsia" w:ascii="仿宋" w:hAnsi="仿宋" w:eastAsia="仿宋" w:cs="仿宋"/>
          <w:b w:val="0"/>
          <w:bCs/>
          <w:color w:val="auto"/>
          <w:sz w:val="24"/>
          <w:szCs w:val="24"/>
          <w:lang w:val="en-US" w:eastAsia="zh-CN"/>
        </w:rPr>
        <w:t>中国科学技术大学先进技术研究院现就“中国科学技术大学先进技术研究院会议系统设备采购”进行询价，欢迎具备条件的投标人参加报价。</w:t>
      </w:r>
    </w:p>
    <w:p>
      <w:pPr>
        <w:pStyle w:val="6"/>
        <w:pageBreakBefore w:val="0"/>
        <w:widowControl w:val="0"/>
        <w:kinsoku/>
        <w:wordWrap/>
        <w:overflowPunct/>
        <w:topLinePunct w:val="0"/>
        <w:bidi w:val="0"/>
        <w:snapToGrid/>
        <w:spacing w:before="0" w:beforeLines="0" w:after="0" w:afterLines="0" w:line="360" w:lineRule="auto"/>
        <w:ind w:left="0" w:leftChars="0" w:firstLine="482" w:firstLineChars="200"/>
        <w:textAlignment w:val="auto"/>
        <w:rPr>
          <w:rFonts w:hint="eastAsia" w:ascii="仿宋" w:hAnsi="仿宋" w:eastAsia="仿宋" w:cs="仿宋"/>
          <w:b/>
          <w:bCs w:val="0"/>
          <w:sz w:val="24"/>
          <w:szCs w:val="24"/>
        </w:rPr>
      </w:pPr>
      <w:r>
        <w:rPr>
          <w:rFonts w:hint="eastAsia" w:ascii="仿宋" w:hAnsi="仿宋" w:eastAsia="仿宋" w:cs="仿宋"/>
          <w:b/>
          <w:bCs w:val="0"/>
          <w:color w:val="auto"/>
          <w:sz w:val="24"/>
          <w:szCs w:val="24"/>
          <w:lang w:val="en-US" w:eastAsia="zh-CN"/>
        </w:rPr>
        <w:t>一</w:t>
      </w:r>
      <w:r>
        <w:rPr>
          <w:rFonts w:hint="eastAsia" w:ascii="仿宋" w:hAnsi="仿宋" w:eastAsia="仿宋" w:cs="仿宋"/>
          <w:b/>
          <w:bCs w:val="0"/>
          <w:color w:val="auto"/>
          <w:sz w:val="24"/>
          <w:szCs w:val="24"/>
        </w:rPr>
        <w:t>、</w:t>
      </w:r>
      <w:r>
        <w:rPr>
          <w:rFonts w:hint="eastAsia" w:ascii="仿宋" w:hAnsi="仿宋" w:eastAsia="仿宋" w:cs="仿宋"/>
          <w:b/>
          <w:bCs w:val="0"/>
          <w:sz w:val="24"/>
          <w:szCs w:val="24"/>
        </w:rPr>
        <w:t>项目基本情况</w:t>
      </w:r>
      <w:bookmarkEnd w:id="1"/>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项目编号：202</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XYY00</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xml:space="preserve"> </w:t>
      </w:r>
      <w:bookmarkStart w:id="19" w:name="_GoBack"/>
      <w:bookmarkEnd w:id="19"/>
    </w:p>
    <w:p>
      <w:pPr>
        <w:pStyle w:val="2"/>
        <w:pageBreakBefore w:val="0"/>
        <w:widowControl w:val="0"/>
        <w:kinsoku/>
        <w:wordWrap/>
        <w:overflowPunct/>
        <w:topLinePunct w:val="0"/>
        <w:bidi w:val="0"/>
        <w:snapToGrid/>
        <w:spacing w:after="0" w:line="360" w:lineRule="auto"/>
        <w:ind w:left="0"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采购方式：询价</w:t>
      </w:r>
    </w:p>
    <w:p>
      <w:pPr>
        <w:pStyle w:val="2"/>
        <w:pageBreakBefore w:val="0"/>
        <w:widowControl w:val="0"/>
        <w:kinsoku/>
        <w:wordWrap/>
        <w:overflowPunct/>
        <w:topLinePunct w:val="0"/>
        <w:bidi w:val="0"/>
        <w:snapToGrid/>
        <w:spacing w:after="0" w:line="360" w:lineRule="auto"/>
        <w:ind w:left="0"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预算金额：60000元</w:t>
      </w:r>
    </w:p>
    <w:p>
      <w:pPr>
        <w:pStyle w:val="2"/>
        <w:pageBreakBefore w:val="0"/>
        <w:widowControl w:val="0"/>
        <w:kinsoku/>
        <w:wordWrap/>
        <w:overflowPunct/>
        <w:topLinePunct w:val="0"/>
        <w:bidi w:val="0"/>
        <w:snapToGrid/>
        <w:spacing w:after="0"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项目地点：合肥</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lang w:val="en-US" w:eastAsia="zh-CN"/>
        </w:rPr>
        <w:t>二</w:t>
      </w:r>
      <w:r>
        <w:rPr>
          <w:rFonts w:hint="eastAsia" w:ascii="仿宋" w:hAnsi="仿宋" w:eastAsia="仿宋" w:cs="仿宋"/>
          <w:b/>
          <w:bCs w:val="0"/>
          <w:color w:val="auto"/>
          <w:sz w:val="24"/>
          <w:szCs w:val="24"/>
        </w:rPr>
        <w:t>、项目概况：</w:t>
      </w:r>
      <w:r>
        <w:rPr>
          <w:rFonts w:hint="eastAsia" w:ascii="仿宋" w:hAnsi="仿宋" w:eastAsia="仿宋" w:cs="仿宋"/>
          <w:b w:val="0"/>
          <w:bCs/>
          <w:color w:val="auto"/>
          <w:sz w:val="24"/>
          <w:szCs w:val="24"/>
        </w:rPr>
        <w:t>详见文件第三章</w:t>
      </w:r>
    </w:p>
    <w:p>
      <w:pPr>
        <w:pStyle w:val="6"/>
        <w:pageBreakBefore w:val="0"/>
        <w:widowControl w:val="0"/>
        <w:kinsoku/>
        <w:wordWrap/>
        <w:overflowPunct/>
        <w:topLinePunct w:val="0"/>
        <w:bidi w:val="0"/>
        <w:snapToGrid/>
        <w:spacing w:before="0" w:beforeLines="0" w:after="0" w:afterLines="0" w:line="360" w:lineRule="auto"/>
        <w:ind w:left="0" w:leftChars="0" w:firstLine="482" w:firstLineChars="200"/>
        <w:textAlignment w:val="auto"/>
        <w:rPr>
          <w:rFonts w:hint="eastAsia" w:ascii="仿宋" w:hAnsi="仿宋" w:eastAsia="仿宋" w:cs="仿宋"/>
          <w:b/>
          <w:bCs w:val="0"/>
          <w:sz w:val="24"/>
          <w:szCs w:val="24"/>
        </w:rPr>
      </w:pPr>
      <w:bookmarkStart w:id="2" w:name="_Toc28359090"/>
      <w:bookmarkStart w:id="3" w:name="_Toc28359013"/>
      <w:bookmarkStart w:id="4" w:name="_Toc22445"/>
      <w:bookmarkStart w:id="5" w:name="_Toc35393799"/>
      <w:bookmarkStart w:id="6" w:name="_Toc35393630"/>
      <w:r>
        <w:rPr>
          <w:rFonts w:hint="eastAsia" w:ascii="仿宋" w:hAnsi="仿宋" w:eastAsia="仿宋" w:cs="仿宋"/>
          <w:b/>
          <w:bCs w:val="0"/>
          <w:sz w:val="24"/>
          <w:szCs w:val="24"/>
          <w:lang w:val="en-US" w:eastAsia="zh-CN"/>
        </w:rPr>
        <w:t>三</w:t>
      </w:r>
      <w:r>
        <w:rPr>
          <w:rFonts w:hint="eastAsia" w:ascii="仿宋" w:hAnsi="仿宋" w:eastAsia="仿宋" w:cs="仿宋"/>
          <w:b/>
          <w:bCs w:val="0"/>
          <w:sz w:val="24"/>
          <w:szCs w:val="24"/>
        </w:rPr>
        <w:t>、</w:t>
      </w:r>
      <w:r>
        <w:rPr>
          <w:rFonts w:hint="eastAsia" w:ascii="仿宋" w:hAnsi="仿宋" w:eastAsia="仿宋" w:cs="仿宋"/>
          <w:b/>
          <w:bCs w:val="0"/>
          <w:sz w:val="24"/>
          <w:szCs w:val="24"/>
          <w:lang w:val="en-US" w:eastAsia="zh-CN"/>
        </w:rPr>
        <w:t>供应商资质</w:t>
      </w:r>
      <w:r>
        <w:rPr>
          <w:rFonts w:hint="eastAsia" w:ascii="仿宋" w:hAnsi="仿宋" w:eastAsia="仿宋" w:cs="仿宋"/>
          <w:b/>
          <w:bCs w:val="0"/>
          <w:sz w:val="24"/>
          <w:szCs w:val="24"/>
        </w:rPr>
        <w:t>要求</w:t>
      </w:r>
      <w:bookmarkEnd w:id="2"/>
      <w:bookmarkEnd w:id="3"/>
      <w:bookmarkEnd w:id="4"/>
      <w:bookmarkEnd w:id="5"/>
      <w:bookmarkEnd w:id="6"/>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1.符合《中华人民共和国政府采购法》第二十二条规定的条件。</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2.具有本次项目的生产或经营范围，有能力提供本项目所要求的产品和服务的企业。</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3.供应商中标后所提供的产品材料，需有该材料出厂、检验、检测等合格的相关证明材料，需得到采购单位的认可（投标前勘察现场时对接，并书面确认）或产品材料厂家相关授权证明。</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投标人信用：投标人（不包含其不具有独立法人资格的分公司、不包含其具备独立法人资格的子公司）存在以下不良信用记录情形之一,不得推荐为中标候选人，不得确定为中标人：</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（1）投标人被人民法院列入失信被执行人的；</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（2）投标人或其法定代表人或拟派项目经理（项目负责人）被列入行贿犯罪档案的</w:t>
      </w:r>
      <w:r>
        <w:rPr>
          <w:rFonts w:hint="eastAsia" w:ascii="仿宋" w:hAnsi="仿宋" w:eastAsia="仿宋" w:cs="仿宋"/>
          <w:color w:val="auto"/>
          <w:kern w:val="0"/>
          <w:sz w:val="24"/>
          <w:szCs w:val="24"/>
        </w:rPr>
        <w:t>（自行承诺）</w:t>
      </w:r>
      <w:r>
        <w:rPr>
          <w:rFonts w:hint="eastAsia" w:ascii="仿宋" w:hAnsi="仿宋" w:eastAsia="仿宋" w:cs="仿宋"/>
          <w:color w:val="auto"/>
          <w:sz w:val="24"/>
          <w:szCs w:val="24"/>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（3）投标人被工商行政管理部门列入企业经营异常名录的。</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（4）投标人被税务部门列入重大税收违法案件当事人名单的；</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以上情形由投标人提供承诺。</w:t>
      </w:r>
    </w:p>
    <w:p>
      <w:pPr>
        <w:pageBreakBefore w:val="0"/>
        <w:widowControl w:val="0"/>
        <w:numPr>
          <w:ilvl w:val="0"/>
          <w:numId w:val="0"/>
        </w:numPr>
        <w:kinsoku/>
        <w:wordWrap/>
        <w:overflowPunct/>
        <w:topLinePunct w:val="0"/>
        <w:bidi w:val="0"/>
        <w:snapToGrid/>
        <w:spacing w:line="360" w:lineRule="auto"/>
        <w:ind w:left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本次招标不接受联合体投标。</w:t>
      </w:r>
    </w:p>
    <w:p>
      <w:pPr>
        <w:pStyle w:val="6"/>
        <w:pageBreakBefore w:val="0"/>
        <w:widowControl w:val="0"/>
        <w:kinsoku/>
        <w:wordWrap/>
        <w:overflowPunct/>
        <w:topLinePunct w:val="0"/>
        <w:bidi w:val="0"/>
        <w:snapToGrid/>
        <w:spacing w:before="0" w:beforeLines="0" w:after="0" w:afterLines="0" w:line="360" w:lineRule="auto"/>
        <w:ind w:left="0" w:leftChars="0" w:firstLine="482" w:firstLineChars="200"/>
        <w:textAlignment w:val="auto"/>
        <w:rPr>
          <w:rFonts w:hint="eastAsia" w:ascii="仿宋" w:hAnsi="仿宋" w:eastAsia="仿宋" w:cs="仿宋"/>
          <w:b/>
          <w:bCs w:val="0"/>
          <w:sz w:val="24"/>
          <w:szCs w:val="24"/>
        </w:rPr>
      </w:pPr>
      <w:bookmarkStart w:id="7" w:name="_Toc13747"/>
      <w:r>
        <w:rPr>
          <w:rFonts w:hint="eastAsia" w:ascii="仿宋" w:hAnsi="仿宋" w:eastAsia="仿宋" w:cs="仿宋"/>
          <w:b/>
          <w:bCs w:val="0"/>
          <w:sz w:val="24"/>
          <w:szCs w:val="24"/>
          <w:lang w:val="en-US" w:eastAsia="zh-CN"/>
        </w:rPr>
        <w:t>四</w:t>
      </w:r>
      <w:r>
        <w:rPr>
          <w:rFonts w:hint="eastAsia" w:ascii="仿宋" w:hAnsi="仿宋" w:eastAsia="仿宋" w:cs="仿宋"/>
          <w:b/>
          <w:bCs w:val="0"/>
          <w:sz w:val="24"/>
          <w:szCs w:val="24"/>
        </w:rPr>
        <w:t>、获取采购文件</w:t>
      </w:r>
      <w:bookmarkEnd w:id="7"/>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供应商由网站自行下载</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中国科学技术大学先进技术研究院网址 http://iat.ustc.edu.cn/</w:t>
      </w:r>
    </w:p>
    <w:p>
      <w:pPr>
        <w:pStyle w:val="6"/>
        <w:pageBreakBefore w:val="0"/>
        <w:widowControl w:val="0"/>
        <w:kinsoku/>
        <w:wordWrap/>
        <w:overflowPunct/>
        <w:topLinePunct w:val="0"/>
        <w:bidi w:val="0"/>
        <w:snapToGrid/>
        <w:spacing w:before="0" w:beforeLines="0" w:after="0" w:afterLines="0" w:line="360" w:lineRule="auto"/>
        <w:ind w:left="0" w:leftChars="0" w:firstLine="482" w:firstLineChars="200"/>
        <w:textAlignment w:val="auto"/>
        <w:rPr>
          <w:rFonts w:hint="eastAsia" w:ascii="仿宋" w:hAnsi="仿宋" w:eastAsia="仿宋" w:cs="仿宋"/>
          <w:b/>
          <w:bCs w:val="0"/>
          <w:sz w:val="24"/>
          <w:szCs w:val="24"/>
        </w:rPr>
      </w:pPr>
      <w:bookmarkStart w:id="8" w:name="_Toc28359015"/>
      <w:bookmarkStart w:id="9" w:name="_Toc22146"/>
      <w:bookmarkStart w:id="10" w:name="_Toc35393632"/>
      <w:bookmarkStart w:id="11" w:name="_Toc35393801"/>
      <w:bookmarkStart w:id="12" w:name="_Toc28359092"/>
      <w:r>
        <w:rPr>
          <w:rFonts w:hint="eastAsia" w:ascii="仿宋" w:hAnsi="仿宋" w:eastAsia="仿宋" w:cs="仿宋"/>
          <w:b/>
          <w:bCs w:val="0"/>
          <w:sz w:val="24"/>
          <w:szCs w:val="24"/>
          <w:lang w:val="en-US" w:eastAsia="zh-CN"/>
        </w:rPr>
        <w:t>五</w:t>
      </w:r>
      <w:r>
        <w:rPr>
          <w:rFonts w:hint="eastAsia" w:ascii="仿宋" w:hAnsi="仿宋" w:eastAsia="仿宋" w:cs="仿宋"/>
          <w:b/>
          <w:bCs w:val="0"/>
          <w:sz w:val="24"/>
          <w:szCs w:val="24"/>
        </w:rPr>
        <w:t>、响应文件提交</w:t>
      </w:r>
      <w:bookmarkEnd w:id="8"/>
      <w:bookmarkEnd w:id="9"/>
      <w:bookmarkEnd w:id="10"/>
      <w:bookmarkEnd w:id="11"/>
      <w:bookmarkEnd w:id="12"/>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递交报价文件截止时间及地点：</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截</w:t>
      </w:r>
      <w:r>
        <w:rPr>
          <w:rFonts w:hint="eastAsia" w:ascii="仿宋" w:hAnsi="仿宋" w:eastAsia="仿宋" w:cs="仿宋"/>
          <w:color w:val="auto"/>
          <w:sz w:val="24"/>
          <w:szCs w:val="24"/>
        </w:rPr>
        <w:t>止时间：202</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rPr>
        <w:t>日14:30时（北京时间）报价文件一式三份，须包装密封，并在包装袋封面注明项目名称、编号、供应商名称、加盖公章、联系人及电话。</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报送地点：中国科学技术大学先进技术研究院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联系人：</w:t>
      </w:r>
      <w:r>
        <w:rPr>
          <w:rFonts w:hint="eastAsia" w:ascii="仿宋" w:hAnsi="仿宋" w:eastAsia="仿宋" w:cs="仿宋"/>
          <w:color w:val="auto"/>
          <w:sz w:val="24"/>
          <w:szCs w:val="24"/>
          <w:lang w:val="en-US" w:eastAsia="zh-CN"/>
        </w:rPr>
        <w:t>张虎山</w:t>
      </w:r>
      <w:r>
        <w:rPr>
          <w:rFonts w:hint="eastAsia" w:ascii="仿宋" w:hAnsi="仿宋" w:eastAsia="仿宋" w:cs="仿宋"/>
          <w:color w:val="auto"/>
          <w:sz w:val="24"/>
          <w:szCs w:val="24"/>
        </w:rPr>
        <w:t xml:space="preserve">  电话：0551-</w:t>
      </w:r>
      <w:r>
        <w:rPr>
          <w:rFonts w:hint="eastAsia" w:ascii="仿宋" w:hAnsi="仿宋" w:eastAsia="仿宋" w:cs="仿宋"/>
          <w:color w:val="auto"/>
          <w:sz w:val="24"/>
          <w:szCs w:val="24"/>
          <w:lang w:val="en-US" w:eastAsia="zh-CN"/>
        </w:rPr>
        <w:t>65711031</w:t>
      </w:r>
      <w:r>
        <w:rPr>
          <w:rFonts w:hint="eastAsia" w:ascii="仿宋" w:hAnsi="仿宋" w:eastAsia="仿宋" w:cs="仿宋"/>
          <w:color w:val="auto"/>
          <w:sz w:val="24"/>
          <w:szCs w:val="24"/>
        </w:rPr>
        <w:t xml:space="preserve">  </w:t>
      </w:r>
    </w:p>
    <w:p>
      <w:pPr>
        <w:pStyle w:val="6"/>
        <w:pageBreakBefore w:val="0"/>
        <w:widowControl w:val="0"/>
        <w:numPr>
          <w:ilvl w:val="0"/>
          <w:numId w:val="1"/>
        </w:numPr>
        <w:kinsoku/>
        <w:wordWrap/>
        <w:overflowPunct/>
        <w:topLinePunct w:val="0"/>
        <w:bidi w:val="0"/>
        <w:snapToGrid/>
        <w:spacing w:before="0" w:beforeLines="0" w:after="0" w:afterLines="0" w:line="360" w:lineRule="auto"/>
        <w:ind w:left="0" w:leftChars="0" w:firstLine="562" w:firstLineChars="200"/>
        <w:jc w:val="center"/>
        <w:textAlignment w:val="auto"/>
        <w:rPr>
          <w:rFonts w:hint="eastAsia" w:ascii="黑体" w:hAnsi="黑体" w:eastAsia="黑体" w:cs="黑体"/>
          <w:bCs w:val="0"/>
          <w:sz w:val="28"/>
          <w:szCs w:val="28"/>
          <w:lang w:val="en-US" w:eastAsia="zh-CN"/>
        </w:rPr>
      </w:pPr>
      <w:r>
        <w:rPr>
          <w:rFonts w:hint="eastAsia" w:ascii="黑体" w:hAnsi="黑体" w:eastAsia="黑体" w:cs="黑体"/>
          <w:bCs w:val="0"/>
          <w:sz w:val="28"/>
          <w:szCs w:val="28"/>
        </w:rPr>
        <w:t xml:space="preserve"> </w:t>
      </w:r>
      <w:bookmarkStart w:id="13" w:name="_Toc29343"/>
      <w:r>
        <w:rPr>
          <w:rFonts w:hint="eastAsia" w:ascii="黑体" w:hAnsi="黑体" w:eastAsia="黑体" w:cs="黑体"/>
          <w:bCs w:val="0"/>
          <w:sz w:val="28"/>
          <w:szCs w:val="28"/>
          <w:lang w:val="en-US" w:eastAsia="zh-CN"/>
        </w:rPr>
        <w:t>报价须知</w:t>
      </w:r>
      <w:bookmarkEnd w:id="13"/>
    </w:p>
    <w:p>
      <w:pPr>
        <w:pageBreakBefore w:val="0"/>
        <w:widowControl w:val="0"/>
        <w:kinsoku/>
        <w:wordWrap/>
        <w:overflowPunct/>
        <w:topLinePunct w:val="0"/>
        <w:bidi w:val="0"/>
        <w:snapToGrid/>
        <w:spacing w:line="360" w:lineRule="auto"/>
        <w:ind w:left="0" w:leftChars="0" w:firstLine="482" w:firstLineChars="200"/>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一、报价文件组成</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1.资格证明文件材料：</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color w:val="auto"/>
          <w:sz w:val="24"/>
          <w:szCs w:val="24"/>
        </w:rPr>
        <w:t>（1）</w:t>
      </w:r>
      <w:r>
        <w:rPr>
          <w:rFonts w:hint="eastAsia" w:ascii="仿宋" w:hAnsi="仿宋" w:eastAsia="仿宋" w:cs="仿宋"/>
          <w:b w:val="0"/>
          <w:color w:val="auto"/>
          <w:kern w:val="2"/>
          <w:sz w:val="24"/>
          <w:szCs w:val="24"/>
          <w:lang w:val="en-US" w:eastAsia="zh-CN" w:bidi="ar-SA"/>
        </w:rPr>
        <w:t>营业执照副本复印件；</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w:t>
      </w:r>
      <w:r>
        <w:rPr>
          <w:rFonts w:hint="eastAsia" w:ascii="仿宋" w:hAnsi="仿宋" w:eastAsia="仿宋" w:cs="仿宋"/>
          <w:b w:val="0"/>
          <w:color w:val="auto"/>
          <w:kern w:val="2"/>
          <w:sz w:val="24"/>
          <w:szCs w:val="24"/>
          <w:lang w:val="en-US" w:eastAsia="zh-CN" w:bidi="ar-SA"/>
        </w:rPr>
        <w:t>法定代表人身份证复印件；</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w:t>
      </w:r>
      <w:r>
        <w:rPr>
          <w:rFonts w:hint="eastAsia" w:ascii="仿宋" w:hAnsi="仿宋" w:eastAsia="仿宋" w:cs="仿宋"/>
          <w:b w:val="0"/>
          <w:color w:val="auto"/>
          <w:kern w:val="2"/>
          <w:sz w:val="24"/>
          <w:szCs w:val="24"/>
          <w:lang w:val="en-US" w:eastAsia="zh-CN" w:bidi="ar-SA"/>
        </w:rPr>
        <w:t>质量和服务承诺书；</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注：报价人提供的各种复印件需加盖单位公章。</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2.商务文件主要包括报价一览表（格式见第四章）投标单位根据清单提供该详细的报价，包括总价和各分项报价，报价书中须说明设备的品牌、型号和单价。</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二、报价要求</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1.报价为报价人所能承受的一次性最终报价，以人民币为结算币种，包括材料费、利润、搬运费、人工费、运输费、税费、售后、质保及相关所有费用。</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2.供应商所提供的产品材料，需有该产品材料出厂、检验、检测等合格的相关证明材料，需得到设备厂家相关授权证明。</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3.供应商应确保其所提供的询价资料的真实性、有效性及合法性，否则由此引起的任何责任由其自行承担。</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4.供应商所供产品材料，供货后由采购人正常运行无问题后再行付款。</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5.供应商所供产品质保期不得少于1年。</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三、询价成交原则</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1.采购方成立询价小组，根据符合项目要求、质量和服务相等且报价最低的原则确定成交供应商，如果同时出现两个以上相同的最低合格报价，则报价相同的供应商再进行一次报价。</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2.预中标供应商在中国科学技术大学先进技术研究院网站公示三个自然日，如无异议后双方签订合同。</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四、签订合同</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1.供应商在接到成交通知5日内，双方就有关采购事项协商一致，遵循平等、自愿、公平和诚实信用的原则，与采购方签订采购合同。</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2.供应商应按照询价文件及评审过程中的有关澄清、说明或者补正文件的内容与采购方签订合同，供应商不得再与采购方签订背离合同实质性内容的其他协议或者声明。</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3.在合同履行中，采购方如需追加与合同标的相同的产品，在不改变合同其他条款的前提下，供应商可以跟采购方协商签订补充合同，但所有补充合同的采购金额不得超过原合同金额的百分之二十。</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4.供应商一旦成交，未经采购方同意，不得将合同全部及任何权利、义务向第三方转让，否则将被视为严重违约，采购方有权决定按照供应商成交后毁标、终止或解除合同等依约处理。</w:t>
      </w:r>
    </w:p>
    <w:p>
      <w:pPr>
        <w:pStyle w:val="2"/>
        <w:pageBreakBefore w:val="0"/>
        <w:widowControl w:val="0"/>
        <w:kinsoku/>
        <w:wordWrap/>
        <w:overflowPunct/>
        <w:topLinePunct w:val="0"/>
        <w:bidi w:val="0"/>
        <w:snapToGrid/>
        <w:spacing w:after="0" w:line="360" w:lineRule="auto"/>
        <w:ind w:left="0" w:leftChars="0" w:firstLine="480" w:firstLineChars="200"/>
        <w:textAlignment w:val="auto"/>
        <w:rPr>
          <w:rFonts w:hint="eastAsia" w:ascii="仿宋" w:hAnsi="仿宋" w:eastAsia="仿宋" w:cs="仿宋"/>
          <w:sz w:val="24"/>
          <w:szCs w:val="24"/>
          <w:lang w:val="en-US" w:eastAsia="zh-CN"/>
        </w:rPr>
      </w:pPr>
    </w:p>
    <w:p>
      <w:pPr>
        <w:pStyle w:val="6"/>
        <w:pageBreakBefore w:val="0"/>
        <w:widowControl w:val="0"/>
        <w:numPr>
          <w:ilvl w:val="0"/>
          <w:numId w:val="2"/>
        </w:numPr>
        <w:kinsoku/>
        <w:wordWrap/>
        <w:overflowPunct/>
        <w:topLinePunct w:val="0"/>
        <w:bidi w:val="0"/>
        <w:snapToGrid/>
        <w:spacing w:before="0" w:beforeLines="0" w:after="0" w:afterLines="0" w:line="360" w:lineRule="auto"/>
        <w:ind w:left="0" w:leftChars="0" w:firstLine="562" w:firstLineChars="200"/>
        <w:jc w:val="center"/>
        <w:textAlignment w:val="auto"/>
        <w:rPr>
          <w:rFonts w:hint="eastAsia" w:ascii="黑体" w:hAnsi="黑体" w:eastAsia="黑体" w:cs="黑体"/>
          <w:bCs w:val="0"/>
          <w:sz w:val="28"/>
          <w:szCs w:val="28"/>
          <w:lang w:val="en-US" w:eastAsia="zh-CN"/>
        </w:rPr>
      </w:pPr>
      <w:bookmarkStart w:id="14" w:name="_Toc469347931"/>
      <w:bookmarkStart w:id="15" w:name="_Toc502753346"/>
      <w:r>
        <w:rPr>
          <w:rFonts w:hint="eastAsia" w:ascii="黑体" w:hAnsi="黑体" w:eastAsia="黑体" w:cs="黑体"/>
          <w:bCs w:val="0"/>
          <w:sz w:val="28"/>
          <w:szCs w:val="28"/>
          <w:lang w:val="en-US" w:eastAsia="zh-CN"/>
        </w:rPr>
        <w:t xml:space="preserve"> </w:t>
      </w:r>
      <w:bookmarkStart w:id="16" w:name="_Toc21787"/>
      <w:r>
        <w:rPr>
          <w:rFonts w:hint="eastAsia" w:ascii="黑体" w:hAnsi="黑体" w:eastAsia="黑体" w:cs="黑体"/>
          <w:color w:val="auto"/>
          <w:sz w:val="28"/>
          <w:szCs w:val="28"/>
        </w:rPr>
        <w:t>项目内容及要求</w:t>
      </w:r>
      <w:bookmarkEnd w:id="16"/>
    </w:p>
    <w:p>
      <w:pPr>
        <w:pageBreakBefore w:val="0"/>
        <w:widowControl w:val="0"/>
        <w:kinsoku/>
        <w:wordWrap/>
        <w:overflowPunct/>
        <w:topLinePunct w:val="0"/>
        <w:bidi w:val="0"/>
        <w:snapToGrid/>
        <w:spacing w:line="360" w:lineRule="auto"/>
        <w:ind w:left="0" w:leftChars="0" w:firstLine="482" w:firstLineChars="200"/>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一、采购内容</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1</w:t>
      </w:r>
      <w:r>
        <w:rPr>
          <w:rFonts w:hint="eastAsia" w:ascii="仿宋" w:hAnsi="仿宋" w:eastAsia="仿宋" w:cs="仿宋"/>
          <w:b w:val="0"/>
          <w:bCs w:val="0"/>
          <w:color w:val="000000"/>
          <w:kern w:val="0"/>
          <w:sz w:val="24"/>
          <w:szCs w:val="24"/>
          <w:lang w:eastAsia="zh-CN"/>
        </w:rPr>
        <w:t>、</w:t>
      </w:r>
      <w:r>
        <w:rPr>
          <w:rFonts w:hint="eastAsia" w:ascii="仿宋" w:hAnsi="仿宋" w:eastAsia="仿宋" w:cs="仿宋"/>
          <w:b w:val="0"/>
          <w:bCs w:val="0"/>
          <w:color w:val="000000"/>
          <w:kern w:val="0"/>
          <w:sz w:val="24"/>
          <w:szCs w:val="24"/>
        </w:rPr>
        <w:t>98寸会议一体机</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sz w:val="24"/>
          <w:szCs w:val="24"/>
        </w:rPr>
        <w:t>98寸会议触摸一体机，满足会议室显示需求，</w:t>
      </w:r>
      <w:r>
        <w:rPr>
          <w:rFonts w:hint="eastAsia" w:ascii="仿宋" w:hAnsi="仿宋" w:eastAsia="仿宋" w:cs="仿宋"/>
          <w:color w:val="000000"/>
          <w:kern w:val="0"/>
          <w:sz w:val="24"/>
          <w:szCs w:val="24"/>
        </w:rPr>
        <w:t>内置超高清、超广角、低畸变1300万像素摄像头，摄像头支持D-FOV：100°广角，支持自动变焦，自动曝光，自动白平衡，自动背光补偿，支持3D降噪；内置6阵列麦克风，支持0-180°拾音角度，支持8米远场拾音，高性能音频算法，具备快速回声消除、环境噪声抑制、人声自动增益补偿功能。 支持双笔同时书写双色显示，搭配专用书写笔，双色识别正确率大于99%，支持20点触摸、10点书写、2点高精度书写，触摸识别高度＜3mm，最小识别物≤2mm，安卓配置：CPU：Cortex 4 核A55 2.0GHz,GPU:MaliG52MP2*4600MHz，RAM：DDR4 4G，ROM：32G，采用Android11.0 操作系统，板载10M/100M/1000M 以太网接口和2.4GWIFI 模组与5G WIFI 模组，其中以太网支持网络唤醒功能，支持蓝牙5.0，支持APP 扩展 OPS 配置：侧位插拔式OPS 微型PC 设计，CPU/内存/硬盘定制；开放式可插接INTEL 规范接口（OPS 接口），双面合计80 针；支持WIFI 无线网络，带RJ45 接口100M/1000Mbs；支持USB3.0；可定制。 无线传屏和镜像功能：安装了白板软件的大屏接收端可同时连接8 个移动设备，并可对各个移动设备进行连接管理。</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2、有源扬声器</w:t>
      </w:r>
    </w:p>
    <w:p>
      <w:pPr>
        <w:pageBreakBefore w:val="0"/>
        <w:widowControl w:val="0"/>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有源会议扬声器两只，频率范围 80Hz-18KHz，扬声器 BML-T801,BMH-A2S</w:t>
      </w:r>
    </w:p>
    <w:p>
      <w:pPr>
        <w:pageBreakBefore w:val="0"/>
        <w:widowControl w:val="0"/>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指向性 H100°xV60°标称阻抗 4 ohm，额定/峰值功率 200W/800W</w:t>
      </w:r>
    </w:p>
    <w:p>
      <w:pPr>
        <w:pageBreakBefore w:val="0"/>
        <w:widowControl w:val="0"/>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3、无线话筒</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接收机自带窄波技术、ID编码技术，能很好的解决同场合多套话筒使用相互间干扰问题，最多可用到24支话筒。</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接收机和发射器上可同时显示电池用量，方便后台人员及时更换电池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接收距离可调、发射功率可调，输出电平可调。</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具有XLR平衡式独立输出，Ф6.3非平衡式混合输出。</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真分集式(True Diversity)，接收距离无阻隔80米。</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发射器表面高温烤漆工艺技术，能在各种恶劣的使用环境下保持表面的美观。</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发射器圆弧边缘设计，符合人体工程学，相比普通产品的菱角边缘，更易于单手持握。还原性好，声音清晰，人声保真度高，适用于演出，大型多功能厅，及一些高端会场。 可切换频率数 ：600MHz：400(50x4x2)个；800MHz：200(50x4x1)个调频方式：红外对频   输出功率：5dBm(max)射频稳定性：±0.005%（-10~50℃）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最大偏移：±70KHz   拾音头：动圈式     供电方式：2节AA电池  电池寿命：约8小时</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二、质量保修及售后服务要求</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1、产品质量应符合国家的相关规范要求。</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2、质保期不少于1年，质保期起始日期从验收签字之日算起。</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3、质保期内出现一般故障及损坏时，设备提供商需在15天内提供相应的备件提供替换使用。</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4、质保期内出现平台服务故障，设备提供商应当根据故障情况进行电话或派人现场解决。</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5、质保期外发生故障或损坏，报价方应能按不高于此次报价金额，提供及时的维修和更换。</w:t>
      </w:r>
    </w:p>
    <w:p>
      <w:pPr>
        <w:pageBreakBefore w:val="0"/>
        <w:widowControl w:val="0"/>
        <w:kinsoku/>
        <w:wordWrap/>
        <w:overflowPunct/>
        <w:topLinePunct w:val="0"/>
        <w:bidi w:val="0"/>
        <w:spacing w:line="240" w:lineRule="auto"/>
        <w:ind w:firstLine="480" w:firstLineChars="200"/>
        <w:textAlignment w:val="auto"/>
        <w:rPr>
          <w:rFonts w:hint="eastAsia" w:ascii="仿宋" w:hAnsi="仿宋" w:eastAsia="仿宋" w:cs="仿宋"/>
          <w:sz w:val="24"/>
          <w:szCs w:val="24"/>
        </w:rPr>
      </w:pPr>
    </w:p>
    <w:p>
      <w:pPr>
        <w:pStyle w:val="6"/>
        <w:pageBreakBefore w:val="0"/>
        <w:widowControl w:val="0"/>
        <w:numPr>
          <w:ilvl w:val="0"/>
          <w:numId w:val="2"/>
        </w:numPr>
        <w:kinsoku/>
        <w:wordWrap/>
        <w:overflowPunct/>
        <w:topLinePunct w:val="0"/>
        <w:bidi w:val="0"/>
        <w:spacing w:before="0" w:beforeLines="0" w:after="0" w:afterLines="0" w:line="240" w:lineRule="auto"/>
        <w:ind w:left="0" w:leftChars="0" w:firstLine="562" w:firstLineChars="200"/>
        <w:jc w:val="center"/>
        <w:textAlignment w:val="auto"/>
        <w:rPr>
          <w:rFonts w:hint="eastAsia" w:ascii="黑体" w:hAnsi="黑体" w:eastAsia="黑体" w:cs="黑体"/>
          <w:sz w:val="28"/>
          <w:szCs w:val="28"/>
          <w:lang w:val="en-US" w:eastAsia="zh-CN"/>
        </w:rPr>
      </w:pPr>
      <w:r>
        <w:rPr>
          <w:rFonts w:hint="eastAsia" w:ascii="黑体" w:hAnsi="黑体" w:eastAsia="黑体" w:cs="黑体"/>
          <w:bCs w:val="0"/>
          <w:sz w:val="28"/>
          <w:szCs w:val="28"/>
        </w:rPr>
        <w:t xml:space="preserve"> </w:t>
      </w:r>
      <w:bookmarkStart w:id="17" w:name="_Toc12768"/>
      <w:r>
        <w:rPr>
          <w:rFonts w:hint="eastAsia" w:ascii="黑体" w:hAnsi="黑体" w:eastAsia="黑体" w:cs="黑体"/>
          <w:bCs w:val="0"/>
          <w:sz w:val="28"/>
          <w:szCs w:val="28"/>
        </w:rPr>
        <w:t>报价</w:t>
      </w:r>
      <w:r>
        <w:rPr>
          <w:rFonts w:hint="eastAsia" w:ascii="黑体" w:hAnsi="黑体" w:eastAsia="黑体" w:cs="黑体"/>
          <w:bCs w:val="0"/>
          <w:sz w:val="28"/>
          <w:szCs w:val="28"/>
          <w:lang w:val="en-US" w:eastAsia="zh-CN"/>
        </w:rPr>
        <w:t>文件格式</w:t>
      </w:r>
      <w:bookmarkEnd w:id="17"/>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kern w:val="2"/>
          <w:sz w:val="24"/>
          <w:szCs w:val="24"/>
          <w:lang w:val="en-US" w:eastAsia="zh-CN" w:bidi="ar-SA"/>
        </w:rPr>
        <w:t>一、</w:t>
      </w:r>
      <w:r>
        <w:rPr>
          <w:rFonts w:hint="eastAsia" w:ascii="仿宋" w:hAnsi="仿宋" w:eastAsia="仿宋" w:cs="仿宋"/>
          <w:b/>
          <w:bCs/>
          <w:color w:val="auto"/>
          <w:sz w:val="24"/>
          <w:szCs w:val="24"/>
          <w:lang w:val="en-US" w:eastAsia="zh-CN"/>
        </w:rPr>
        <w:t>报价清单格式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color w:val="auto"/>
          <w:sz w:val="24"/>
          <w:szCs w:val="24"/>
        </w:rPr>
        <w:t>中国科学技术大学先进技术研究院</w:t>
      </w:r>
      <w:r>
        <w:rPr>
          <w:rFonts w:hint="eastAsia" w:ascii="仿宋" w:hAnsi="仿宋" w:eastAsia="仿宋" w:cs="仿宋"/>
          <w:b w:val="0"/>
          <w:bCs w:val="0"/>
          <w:color w:val="auto"/>
          <w:sz w:val="24"/>
          <w:szCs w:val="24"/>
          <w:lang w:val="en-US" w:eastAsia="zh-CN"/>
        </w:rPr>
        <w:t>会议系统设备</w:t>
      </w:r>
      <w:r>
        <w:rPr>
          <w:rFonts w:hint="eastAsia" w:ascii="仿宋" w:hAnsi="仿宋" w:eastAsia="仿宋" w:cs="仿宋"/>
          <w:b w:val="0"/>
          <w:bCs w:val="0"/>
          <w:color w:val="auto"/>
          <w:sz w:val="24"/>
          <w:szCs w:val="24"/>
        </w:rPr>
        <w:t>采购报价清单</w:t>
      </w:r>
    </w:p>
    <w:bookmarkEnd w:id="14"/>
    <w:bookmarkEnd w:id="15"/>
    <w:tbl>
      <w:tblPr>
        <w:tblStyle w:val="13"/>
        <w:tblW w:w="56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1241"/>
        <w:gridCol w:w="4934"/>
        <w:gridCol w:w="460"/>
        <w:gridCol w:w="632"/>
        <w:gridCol w:w="632"/>
        <w:gridCol w:w="632"/>
        <w:gridCol w:w="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01" w:type="pct"/>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设备名称</w:t>
            </w:r>
          </w:p>
        </w:tc>
        <w:tc>
          <w:tcPr>
            <w:tcW w:w="255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型号参数</w:t>
            </w:r>
          </w:p>
        </w:tc>
        <w:tc>
          <w:tcPr>
            <w:tcW w:w="23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单位</w:t>
            </w:r>
          </w:p>
        </w:tc>
        <w:tc>
          <w:tcPr>
            <w:tcW w:w="3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数量</w:t>
            </w:r>
          </w:p>
        </w:tc>
        <w:tc>
          <w:tcPr>
            <w:tcW w:w="3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单价</w:t>
            </w:r>
          </w:p>
        </w:tc>
        <w:tc>
          <w:tcPr>
            <w:tcW w:w="3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金额</w:t>
            </w:r>
          </w:p>
        </w:tc>
        <w:tc>
          <w:tcPr>
            <w:tcW w:w="3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59"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1</w:t>
            </w:r>
          </w:p>
        </w:tc>
        <w:tc>
          <w:tcPr>
            <w:tcW w:w="64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会议一体机</w:t>
            </w:r>
          </w:p>
        </w:tc>
        <w:tc>
          <w:tcPr>
            <w:tcW w:w="255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1、 屏幕显示：整机屏幕采98英寸A规屏/A级屏，显示比例16:9，屏幕图像分辨率达3840*2160，色彩总数1.07G colors ,可视角度178°</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2、 整机屏占比：超薄窄边框设计，整机屏占比≥85%，整机厚度≤90mm</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3、 整机一体化设计：为保证整机一体性，整机无外伸天线</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4、 整机无线模块化设计：为保证整机上网安全性，可根据使用场景需求实现wifi模块热插拔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5、 扬声器：采用2*15W（中高音）扬声器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6、 内置超高清、超广角、低畸变1300万像素摄像头，摄像头支持D-FOV：100°广角，支持自动变焦，自动曝光，自动白平衡，自动背光补偿，支持3D降噪；内置6阵列麦克风，支持0-180°拾音角度，支持8米远场拾音，高性能音频算法，具备快速回声消除、环境噪声抑制、人声自动增益补偿功能。</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7、 一键节能：设备在不关闭整机电源的情况下可一键关闭或开启液晶屏背光，关闭背光后整机功率降低超过85%。</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8、 支持双笔同时书写双色显示，搭配专用书写笔，双色识别正确率大于99%</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9、 触控技术：支持20点触摸、10点书写、2点高精度书写，触摸识别高度＜3mm，最小识别物≤2mm</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10、 抗强光干扰：触摸屏具有防光干扰功能，能在照度100K LUX（勒克司）环境下仍能正常工作</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11、 整机上电初始化时间（整机上电后500ms 内即可开机）使用示波器对电源POWER 键高电平脚和TV 初始化状态指示灯“绿灯”引脚进行信号时间差对比，可得出整机上电开机时间间隔。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12、 安卓配置：CPU：Cortex 4 核A55 2.0GHz,GPU:MaliG52MP2*4600MHz，RAM：DDR4 4G，ROM：32G，采用Android11.0 操作系统，板载10M/100M/1000M 以太网接口和2.4GWIFI 模组与5G WIFI 模组，其中以太网支持网络唤醒功能，支持蓝牙5.0，支持APP 扩展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13、 OPS 配置：侧位插拔式OPS 微型PC 设计，CPU/内存/硬盘定制；开放式可插接INTEL 规范接口（OPS 接口），双面合计80 针；支持WIFI 无线网络，带RJ45 接口100M/1000Mbs；支持USB3.0；可定制。</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14、 无线传屏和镜像功能：安装了白板软件的大屏接收端可同时连接8 个移动设备，并可对各个移动设备进行连接管理，要求：1、在大屏幕可以打开已连接的移动设备列表窗口，查看每个设备名称；2、随时可以断开其中某个设备的连接；3、可以同时选择多个移动设备，批量向这些设备进行文件传送。也可以接收由移动设备传送过来的文件，并可以选择保存、打开或直接插入白板页面三种操作；4、可以显示同一网段内的其他大屏幕接收端列表，并可以将某个移动设备转投到其他大屏幕接收端。( 提供GRCT CNAS盖章检测报告）</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15、 自带批注和常规白板功能：批注笔提供颜色、粗细设置，提供漫游、手势擦除、一键清空等功能；</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16、  欢迎界面：用户可编辑任意欢迎词内容、位置及背景图片，快速生成欢迎词界面进行签名、书写，并直接生成二维码分享到手机、平板电脑等移动端；</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p>
        </w:tc>
        <w:tc>
          <w:tcPr>
            <w:tcW w:w="23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台</w:t>
            </w:r>
          </w:p>
        </w:tc>
        <w:tc>
          <w:tcPr>
            <w:tcW w:w="3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1</w:t>
            </w:r>
          </w:p>
        </w:tc>
        <w:tc>
          <w:tcPr>
            <w:tcW w:w="3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p>
        </w:tc>
        <w:tc>
          <w:tcPr>
            <w:tcW w:w="3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p>
        </w:tc>
        <w:tc>
          <w:tcPr>
            <w:tcW w:w="3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59"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2</w:t>
            </w:r>
          </w:p>
        </w:tc>
        <w:tc>
          <w:tcPr>
            <w:tcW w:w="64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有源音箱</w:t>
            </w:r>
          </w:p>
        </w:tc>
        <w:tc>
          <w:tcPr>
            <w:tcW w:w="255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1、频率范围 80Hz-18KHz</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2、扬声器 BML-T801,BMH-A2S</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3、指向性 H100°xV60°</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4、标称阻抗 4 ohm</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5、额定/峰值功率 200W/800W</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6、灵敏度 94dB</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7、最大声压级 123dB</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8、连接插座 Servo-balanced</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9、输入阻抗 20K ohm</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10、灵敏度(线路) -4dB to +18 dB</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11、限幅 Opto-controlled</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12、主电压 180-260V  50Hz</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13、保险丝 180-260V   T5A</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14、电源插座 Standard  IEC  connector</w:t>
            </w:r>
          </w:p>
        </w:tc>
        <w:tc>
          <w:tcPr>
            <w:tcW w:w="23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只</w:t>
            </w:r>
          </w:p>
        </w:tc>
        <w:tc>
          <w:tcPr>
            <w:tcW w:w="3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2</w:t>
            </w:r>
          </w:p>
        </w:tc>
        <w:tc>
          <w:tcPr>
            <w:tcW w:w="3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p>
        </w:tc>
        <w:tc>
          <w:tcPr>
            <w:tcW w:w="3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p>
        </w:tc>
        <w:tc>
          <w:tcPr>
            <w:tcW w:w="3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59"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3</w:t>
            </w:r>
          </w:p>
        </w:tc>
        <w:tc>
          <w:tcPr>
            <w:tcW w:w="64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无线话筒</w:t>
            </w:r>
          </w:p>
        </w:tc>
        <w:tc>
          <w:tcPr>
            <w:tcW w:w="255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主机技术参数</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频道组数：双通道</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面板显示： LCD液晶显示可同时显示RF/AF信号强度，SQ设置，发射机的电池容量和工作频率</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震荡模式： PLL相位锁定频率合成</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射频稳定度： ±0.005%（10～50℃）</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载波频段： UHF:640.125MHz-690.000MHz；805.125MHz-823.750MHz</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频带宽度 ：600MHz：50（6.25*4*2）MHz；  800MHz：25（6.25*4*1）MHz</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频率间隔：125KHz</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可切换频率数 ：600MHz：400(50x4x2)个；800MHz：200(50x4x1)个</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操作方式： 手动调整</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接收方式 ：真分集式（TrueDiversity）</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灵敏度： 在偏移度等于40KHz，输入6dBμV时，S/N80dB</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最大偏移度 ：±68KHz</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综合S/N比： ±105dB（1KHz-A）</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综合失真度： ＜0.5%@1KHz</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综合频率响应： 100Hz～18KHz±3dB具低频衰减滤频电路</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输出插座 ：XLR平衡式插座独立输出及Φ6.3不平衡式插座混合输出</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音量输出调整 ：输出电平可随意调整</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静音控制模式 ：独立“音码及杂讯锁定”双重静音控制</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灵敏度调整： 可通过调节SQ，可调节接收机灵敏度</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无阻接收距离 ：无障碍阻隔接收距离约80米</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DC电源供应 ：0.5A 12V</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尺寸：mm宽×深×高 426×185×50</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话筒技术参数</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 xml:space="preserve">振荡模式：PLL相位锁定频率合成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载波频段： UHF:640.125MHz-690.000MHz；805.125MHz-823.750MHz</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频带宽度 ：600MHz：50（6.25*4*2）MHz；  800MHz：25（6.25*4*1）MHz</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频率间隔：125KHz</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可切换频率数 ：600MHz：400(50x4x2)个；800MHz：200(50x4x1)个</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 xml:space="preserve">调频方式：红外对频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输出功率：5dBm(max)</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 xml:space="preserve">射频稳定性：±0.005%（-10~50℃）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 xml:space="preserve">最大偏移：±70KHz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 xml:space="preserve">拾音头：动圈式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 xml:space="preserve">供电方式：2节AA电池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电池寿命：约8小时</w:t>
            </w:r>
          </w:p>
        </w:tc>
        <w:tc>
          <w:tcPr>
            <w:tcW w:w="23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套</w:t>
            </w:r>
          </w:p>
        </w:tc>
        <w:tc>
          <w:tcPr>
            <w:tcW w:w="3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1</w:t>
            </w:r>
          </w:p>
        </w:tc>
        <w:tc>
          <w:tcPr>
            <w:tcW w:w="3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p>
        </w:tc>
        <w:tc>
          <w:tcPr>
            <w:tcW w:w="3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p>
        </w:tc>
        <w:tc>
          <w:tcPr>
            <w:tcW w:w="3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000" w:type="pct"/>
            <w:gridSpan w:val="8"/>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其它说明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1、本章提出的是最低限度的技术要求，并未对一切技术细节做出规定，也未充分引述有关标准和规范的条文，投标单位应保证提供符合本章和有关最新工业标准的优质产品。</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2、如果投标单位没有以书面形式对本章条文提出异议，则表示投标单位提供的设备完全符合本章的要求。若有异议，不管是多么微小，都应加以详细说明。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3、中标后，应及时与招标单位进行有关技术磋商，保证设备在基础布置及接口等方面满足设计要求，在现场相关技术施工中，需要中标单位提供技术支持。</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4、签约前后，用户如提出合理的补充要求，中标单位应积极响应。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 xml:space="preserve">5、其它未尽事宜待签约时商定。 </w:t>
            </w:r>
          </w:p>
        </w:tc>
      </w:tr>
    </w:tbl>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报价人名称（盖章）：                     日期：</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报价人代表签名：                        联系电话：</w:t>
      </w:r>
    </w:p>
    <w:p>
      <w:pPr>
        <w:pageBreakBefore w:val="0"/>
        <w:widowControl w:val="0"/>
        <w:kinsoku/>
        <w:wordWrap/>
        <w:overflowPunct/>
        <w:topLinePunct w:val="0"/>
        <w:bidi w:val="0"/>
        <w:spacing w:line="240" w:lineRule="auto"/>
        <w:ind w:firstLine="480" w:firstLineChars="200"/>
        <w:textAlignment w:val="auto"/>
        <w:rPr>
          <w:rFonts w:hint="eastAsia" w:ascii="仿宋" w:hAnsi="仿宋" w:eastAsia="仿宋" w:cs="仿宋"/>
          <w:b w:val="0"/>
          <w:color w:val="auto"/>
          <w:kern w:val="2"/>
          <w:sz w:val="24"/>
          <w:szCs w:val="24"/>
          <w:lang w:val="en-US" w:eastAsia="zh-CN" w:bidi="ar-SA"/>
        </w:rPr>
      </w:pPr>
    </w:p>
    <w:p>
      <w:pPr>
        <w:pageBreakBefore w:val="0"/>
        <w:widowControl w:val="0"/>
        <w:kinsoku/>
        <w:wordWrap/>
        <w:overflowPunct/>
        <w:topLinePunct w:val="0"/>
        <w:bidi w:val="0"/>
        <w:spacing w:line="240" w:lineRule="auto"/>
        <w:ind w:firstLine="480" w:firstLineChars="200"/>
        <w:textAlignment w:val="auto"/>
        <w:rPr>
          <w:rFonts w:hint="eastAsia" w:ascii="仿宋" w:hAnsi="仿宋" w:eastAsia="仿宋" w:cs="仿宋"/>
          <w:b w:val="0"/>
          <w:color w:val="auto"/>
          <w:kern w:val="2"/>
          <w:sz w:val="24"/>
          <w:szCs w:val="24"/>
          <w:lang w:val="en-US" w:eastAsia="zh-CN" w:bidi="ar-SA"/>
        </w:rPr>
      </w:pPr>
    </w:p>
    <w:p>
      <w:pPr>
        <w:pStyle w:val="7"/>
        <w:pageBreakBefore w:val="0"/>
        <w:widowControl w:val="0"/>
        <w:kinsoku/>
        <w:wordWrap/>
        <w:overflowPunct/>
        <w:topLinePunct w:val="0"/>
        <w:bidi w:val="0"/>
        <w:spacing w:before="0" w:after="0" w:line="240" w:lineRule="auto"/>
        <w:ind w:firstLine="480" w:firstLineChars="200"/>
        <w:textAlignment w:val="auto"/>
        <w:rPr>
          <w:rFonts w:hint="eastAsia" w:ascii="仿宋" w:hAnsi="仿宋" w:eastAsia="仿宋" w:cs="仿宋"/>
          <w:b w:val="0"/>
          <w:bCs w:val="0"/>
          <w:color w:val="auto"/>
          <w:sz w:val="24"/>
          <w:szCs w:val="24"/>
        </w:rPr>
      </w:pPr>
    </w:p>
    <w:p>
      <w:pPr>
        <w:pageBreakBefore w:val="0"/>
        <w:widowControl w:val="0"/>
        <w:kinsoku/>
        <w:wordWrap/>
        <w:overflowPunct/>
        <w:topLinePunct w:val="0"/>
        <w:bidi w:val="0"/>
        <w:spacing w:line="24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br w:type="page"/>
      </w:r>
    </w:p>
    <w:p>
      <w:pPr>
        <w:pStyle w:val="7"/>
        <w:pageBreakBefore w:val="0"/>
        <w:widowControl w:val="0"/>
        <w:kinsoku/>
        <w:wordWrap/>
        <w:overflowPunct/>
        <w:topLinePunct w:val="0"/>
        <w:bidi w:val="0"/>
        <w:spacing w:before="0" w:after="0" w:line="240" w:lineRule="auto"/>
        <w:ind w:firstLine="482" w:firstLineChars="200"/>
        <w:jc w:val="left"/>
        <w:textAlignment w:val="auto"/>
        <w:rPr>
          <w:rFonts w:hint="eastAsia" w:ascii="仿宋" w:hAnsi="仿宋" w:eastAsia="仿宋" w:cs="仿宋"/>
          <w:b/>
          <w:bCs/>
          <w:color w:val="auto"/>
          <w:sz w:val="24"/>
          <w:szCs w:val="24"/>
        </w:rPr>
      </w:pPr>
      <w:bookmarkStart w:id="18" w:name="_Toc21718"/>
      <w:r>
        <w:rPr>
          <w:rFonts w:hint="eastAsia" w:ascii="仿宋" w:hAnsi="仿宋" w:eastAsia="仿宋" w:cs="仿宋"/>
          <w:b/>
          <w:bCs/>
          <w:color w:val="auto"/>
          <w:sz w:val="24"/>
          <w:szCs w:val="24"/>
        </w:rPr>
        <w:t>二、法定代表人身份证明</w:t>
      </w:r>
      <w:bookmarkEnd w:id="18"/>
    </w:p>
    <w:p>
      <w:pPr>
        <w:pageBreakBefore w:val="0"/>
        <w:widowControl w:val="0"/>
        <w:kinsoku/>
        <w:wordWrap/>
        <w:overflowPunct/>
        <w:topLinePunct w:val="0"/>
        <w:bidi w:val="0"/>
        <w:adjustRightInd w:val="0"/>
        <w:snapToGrid w:val="0"/>
        <w:spacing w:line="240" w:lineRule="auto"/>
        <w:ind w:firstLine="482" w:firstLineChars="200"/>
        <w:jc w:val="center"/>
        <w:textAlignment w:val="auto"/>
        <w:rPr>
          <w:rFonts w:hint="eastAsia" w:ascii="仿宋" w:hAnsi="仿宋" w:eastAsia="仿宋" w:cs="仿宋"/>
          <w:b/>
          <w:color w:val="auto"/>
          <w:sz w:val="24"/>
          <w:szCs w:val="24"/>
        </w:rPr>
      </w:pPr>
    </w:p>
    <w:p>
      <w:pPr>
        <w:pageBreakBefore w:val="0"/>
        <w:widowControl w:val="0"/>
        <w:kinsoku/>
        <w:wordWrap/>
        <w:overflowPunct/>
        <w:topLinePunct w:val="0"/>
        <w:bidi w:val="0"/>
        <w:adjustRightInd w:val="0"/>
        <w:snapToGrid w:val="0"/>
        <w:spacing w:line="240" w:lineRule="auto"/>
        <w:ind w:firstLine="482" w:firstLineChars="200"/>
        <w:jc w:val="center"/>
        <w:textAlignment w:val="auto"/>
        <w:rPr>
          <w:rFonts w:hint="eastAsia" w:ascii="仿宋" w:hAnsi="仿宋" w:eastAsia="仿宋" w:cs="仿宋"/>
          <w:b/>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法定代表人（单位负责人）身份证明</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单位性质：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    址：</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成立时间：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日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经营期限：</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姓名：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性别：</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职务：</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系</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（供应商名称）的法定代表人（单位负责人）。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特此证明。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附：法定代表人（单位负责人）身份证复印件。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（盖单位章）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pPr>
        <w:pageBreakBefore w:val="0"/>
        <w:widowControl w:val="0"/>
        <w:numPr>
          <w:ilvl w:val="0"/>
          <w:numId w:val="0"/>
        </w:numPr>
        <w:kinsoku/>
        <w:wordWrap/>
        <w:overflowPunct/>
        <w:topLinePunct w:val="0"/>
        <w:bidi w:val="0"/>
        <w:spacing w:line="240" w:lineRule="auto"/>
        <w:ind w:left="0" w:leftChars="0" w:firstLine="0" w:firstLineChars="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kern w:val="2"/>
          <w:sz w:val="24"/>
          <w:szCs w:val="24"/>
          <w:lang w:val="en-US" w:eastAsia="zh-CN" w:bidi="ar-SA"/>
        </w:rPr>
        <w:t>三、</w:t>
      </w:r>
      <w:r>
        <w:rPr>
          <w:rFonts w:hint="eastAsia" w:ascii="仿宋" w:hAnsi="仿宋" w:eastAsia="仿宋" w:cs="仿宋"/>
          <w:b/>
          <w:bCs/>
          <w:color w:val="auto"/>
          <w:sz w:val="24"/>
          <w:szCs w:val="24"/>
        </w:rPr>
        <w:t>质量保证和服务承诺书</w:t>
      </w:r>
    </w:p>
    <w:p>
      <w:pPr>
        <w:pageBreakBefore w:val="0"/>
        <w:widowControl w:val="0"/>
        <w:numPr>
          <w:ilvl w:val="0"/>
          <w:numId w:val="0"/>
        </w:numPr>
        <w:kinsoku/>
        <w:wordWrap/>
        <w:overflowPunct/>
        <w:topLinePunct w:val="0"/>
        <w:bidi w:val="0"/>
        <w:spacing w:line="240" w:lineRule="auto"/>
        <w:ind w:leftChars="0"/>
        <w:jc w:val="left"/>
        <w:textAlignment w:val="auto"/>
        <w:rPr>
          <w:rFonts w:hint="eastAsia" w:ascii="仿宋" w:hAnsi="仿宋" w:eastAsia="仿宋" w:cs="仿宋"/>
          <w:b/>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质量保证和服务承诺书</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致：中国科学技术大学先进技术研究院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对于贵方的中国科学技术大学先进技术研究院</w:t>
      </w:r>
      <w:r>
        <w:rPr>
          <w:rFonts w:hint="eastAsia" w:ascii="仿宋" w:hAnsi="仿宋" w:eastAsia="仿宋" w:cs="仿宋"/>
          <w:color w:val="auto"/>
          <w:sz w:val="24"/>
          <w:szCs w:val="24"/>
          <w:lang w:val="en-US" w:eastAsia="zh-CN"/>
        </w:rPr>
        <w:t>会议系统设备</w:t>
      </w:r>
      <w:r>
        <w:rPr>
          <w:rFonts w:hint="eastAsia" w:ascii="仿宋" w:hAnsi="仿宋" w:eastAsia="仿宋" w:cs="仿宋"/>
          <w:color w:val="auto"/>
          <w:sz w:val="24"/>
          <w:szCs w:val="24"/>
        </w:rPr>
        <w:t>采购询价项目（项目编号:</w:t>
      </w:r>
      <w:r>
        <w:rPr>
          <w:rFonts w:hint="eastAsia" w:ascii="仿宋" w:hAnsi="仿宋" w:eastAsia="仿宋" w:cs="仿宋"/>
          <w:color w:val="auto"/>
          <w:sz w:val="24"/>
          <w:szCs w:val="24"/>
          <w:u w:val="single"/>
        </w:rPr>
        <w:t>202</w:t>
      </w:r>
      <w:r>
        <w:rPr>
          <w:rFonts w:hint="eastAsia" w:ascii="仿宋" w:hAnsi="仿宋" w:eastAsia="仿宋" w:cs="仿宋"/>
          <w:color w:val="auto"/>
          <w:sz w:val="24"/>
          <w:szCs w:val="24"/>
          <w:u w:val="single"/>
          <w:lang w:val="en-US" w:eastAsia="zh-CN"/>
        </w:rPr>
        <w:t>3</w:t>
      </w:r>
      <w:r>
        <w:rPr>
          <w:rFonts w:hint="eastAsia" w:ascii="仿宋" w:hAnsi="仿宋" w:eastAsia="仿宋" w:cs="仿宋"/>
          <w:color w:val="auto"/>
          <w:sz w:val="24"/>
          <w:szCs w:val="24"/>
          <w:u w:val="single"/>
        </w:rPr>
        <w:t>XYY00</w:t>
      </w:r>
      <w:r>
        <w:rPr>
          <w:rFonts w:hint="eastAsia" w:ascii="仿宋" w:hAnsi="仿宋" w:eastAsia="仿宋" w:cs="仿宋"/>
          <w:color w:val="auto"/>
          <w:sz w:val="24"/>
          <w:szCs w:val="24"/>
          <w:u w:val="single"/>
          <w:lang w:val="en-US" w:eastAsia="zh-CN"/>
        </w:rPr>
        <w:t>4</w:t>
      </w:r>
      <w:r>
        <w:rPr>
          <w:rFonts w:hint="eastAsia" w:ascii="仿宋" w:hAnsi="仿宋" w:eastAsia="仿宋" w:cs="仿宋"/>
          <w:color w:val="auto"/>
          <w:sz w:val="24"/>
          <w:szCs w:val="24"/>
        </w:rPr>
        <w:t>），我方已认真阅读询价文件的全部内容，并对本次询价项目作出实质性响应，承诺在报价有效期内具有约束力。如有违约行为，将按规定接受处罚，直至追究法律责任。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如我单位中标，我们将严格遵守询价文件和合同协议条款，不附加任何条件满足全部要求，确保所供产品材料从正品采购渠道进行采购，并承诺我方提供的产品材料在正常使用周期内，如产生该产品耗材非人为原因导致的损坏或故障而造成的一切损失和责任，则由我单位愿承担。我单位所供产品质保期为</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年。联系人：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联系方式：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报价人名称（盖章）：</w:t>
      </w:r>
      <w:r>
        <w:rPr>
          <w:rFonts w:hint="eastAsia" w:ascii="仿宋" w:hAnsi="仿宋" w:eastAsia="仿宋" w:cs="仿宋"/>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报价代表人（签名）：</w:t>
      </w:r>
      <w:r>
        <w:rPr>
          <w:rFonts w:hint="eastAsia" w:ascii="仿宋" w:hAnsi="仿宋" w:eastAsia="仿宋" w:cs="仿宋"/>
          <w:color w:val="auto"/>
          <w:sz w:val="24"/>
          <w:szCs w:val="24"/>
          <w:u w:val="single"/>
        </w:rPr>
        <w:t xml:space="preserve">                </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年    月    日</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color w:val="auto"/>
          <w:kern w:val="2"/>
          <w:sz w:val="24"/>
          <w:szCs w:val="24"/>
          <w:lang w:val="en-US" w:eastAsia="zh-CN" w:bidi="ar-SA"/>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2FDF9"/>
    <w:multiLevelType w:val="singleLevel"/>
    <w:tmpl w:val="00E2FDF9"/>
    <w:lvl w:ilvl="0" w:tentative="0">
      <w:start w:val="2"/>
      <w:numFmt w:val="chineseCounting"/>
      <w:suff w:val="space"/>
      <w:lvlText w:val="第%1章"/>
      <w:lvlJc w:val="left"/>
      <w:rPr>
        <w:rFonts w:hint="eastAsia"/>
      </w:rPr>
    </w:lvl>
  </w:abstractNum>
  <w:abstractNum w:abstractNumId="1">
    <w:nsid w:val="7CB50643"/>
    <w:multiLevelType w:val="singleLevel"/>
    <w:tmpl w:val="7CB50643"/>
    <w:lvl w:ilvl="0" w:tentative="0">
      <w:start w:val="3"/>
      <w:numFmt w:val="chineseCounting"/>
      <w:suff w:val="space"/>
      <w:lvlText w:val="第%1章"/>
      <w:lvlJc w:val="left"/>
      <w:pPr>
        <w:tabs>
          <w:tab w:val="left" w:pos="0"/>
        </w:tabs>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yYzA0NjcwYjI3ZmY3YTU3NDQ1YjJiN2NmMjczMTYifQ=="/>
  </w:docVars>
  <w:rsids>
    <w:rsidRoot w:val="3E416760"/>
    <w:rsid w:val="01AC5842"/>
    <w:rsid w:val="0AA72F6A"/>
    <w:rsid w:val="13D93D42"/>
    <w:rsid w:val="1D136776"/>
    <w:rsid w:val="36FD03AB"/>
    <w:rsid w:val="3E416760"/>
    <w:rsid w:val="464B38DA"/>
    <w:rsid w:val="4CCB601E"/>
    <w:rsid w:val="547B4BB9"/>
    <w:rsid w:val="671257E2"/>
    <w:rsid w:val="7A641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32"/>
      <w:szCs w:val="44"/>
    </w:rPr>
  </w:style>
  <w:style w:type="paragraph" w:styleId="6">
    <w:name w:val="heading 2"/>
    <w:basedOn w:val="1"/>
    <w:next w:val="1"/>
    <w:link w:val="15"/>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200"/>
    </w:pPr>
    <w:rPr>
      <w:sz w:val="21"/>
    </w:rPr>
  </w:style>
  <w:style w:type="paragraph" w:styleId="3">
    <w:name w:val="Body Text Indent"/>
    <w:basedOn w:val="1"/>
    <w:next w:val="4"/>
    <w:qFormat/>
    <w:uiPriority w:val="99"/>
    <w:pPr>
      <w:ind w:firstLine="645"/>
    </w:pPr>
    <w:rPr>
      <w:rFonts w:ascii="楷体_GB2312" w:eastAsia="楷体_GB2312"/>
      <w:sz w:val="32"/>
    </w:rPr>
  </w:style>
  <w:style w:type="paragraph" w:styleId="4">
    <w:name w:val="envelope return"/>
    <w:basedOn w:val="1"/>
    <w:qFormat/>
    <w:uiPriority w:val="99"/>
    <w:pPr>
      <w:snapToGrid w:val="0"/>
    </w:pPr>
    <w:rPr>
      <w:rFonts w:ascii="Arial" w:hAnsi="Arial"/>
    </w:rPr>
  </w:style>
  <w:style w:type="paragraph" w:styleId="8">
    <w:name w:val="toc 3"/>
    <w:basedOn w:val="1"/>
    <w:next w:val="1"/>
    <w:uiPriority w:val="0"/>
    <w:pPr>
      <w:ind w:left="840" w:leftChars="4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paragraph" w:styleId="12">
    <w:name w:val="toc 2"/>
    <w:basedOn w:val="1"/>
    <w:next w:val="1"/>
    <w:qFormat/>
    <w:uiPriority w:val="0"/>
    <w:pPr>
      <w:ind w:left="420" w:leftChars="200"/>
    </w:pPr>
  </w:style>
  <w:style w:type="character" w:customStyle="1" w:styleId="15">
    <w:name w:val="标题 2 Char"/>
    <w:link w:val="6"/>
    <w:qFormat/>
    <w:uiPriority w:val="0"/>
    <w:rPr>
      <w:rFonts w:ascii="Arial" w:hAnsi="Arial" w:eastAsia="黑体"/>
      <w:b/>
      <w:sz w:val="32"/>
    </w:rPr>
  </w:style>
  <w:style w:type="paragraph" w:customStyle="1" w:styleId="16">
    <w:name w:val="中等深浅网格 21"/>
    <w:qFormat/>
    <w:uiPriority w:val="1"/>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2023-12-14T01:25:00Z</dcterms:created>
  <dc:creator>小红</dc:creator>
  <cp:lastModifiedBy>小红</cp:lastModifiedBy>
  <cp:lastPrinted>2023-12-14T07:52:00Z</cp:lastPrinted>
  <dcterms:modified xsi:type="dcterms:W3CDTF">2023-12-14T08:34:53Z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21ABB8AF33CD43DAB76480B8808ADCD5_11</vt:lpwstr>
  </property>
</Properties>
</file>